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9" w:rsidRDefault="00001BC1">
      <w:r>
        <w:t>Loanhead Primary School Improvement  Priorities August 2017 – June 2018</w:t>
      </w:r>
    </w:p>
    <w:p w:rsidR="00001BC1" w:rsidRDefault="00001BC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42"/>
        <w:gridCol w:w="3038"/>
        <w:gridCol w:w="6743"/>
        <w:gridCol w:w="1985"/>
        <w:gridCol w:w="2409"/>
      </w:tblGrid>
      <w:tr w:rsidR="00001BC1" w:rsidTr="00AC6C01">
        <w:tc>
          <w:tcPr>
            <w:tcW w:w="1242" w:type="dxa"/>
            <w:shd w:val="clear" w:color="auto" w:fill="92D050"/>
          </w:tcPr>
          <w:p w:rsidR="00001BC1" w:rsidRPr="00284C30" w:rsidRDefault="00001BC1" w:rsidP="00AC6C01">
            <w:pPr>
              <w:pStyle w:val="Header"/>
              <w:tabs>
                <w:tab w:val="clear" w:pos="4153"/>
                <w:tab w:val="clear" w:pos="8306"/>
              </w:tabs>
              <w:rPr>
                <w:rFonts w:ascii="Arial" w:hAnsi="Arial" w:cs="Arial"/>
                <w:b/>
                <w:bCs/>
              </w:rPr>
            </w:pPr>
            <w:r w:rsidRPr="00284C30">
              <w:rPr>
                <w:rFonts w:ascii="Arial" w:hAnsi="Arial" w:cs="Arial"/>
                <w:b/>
                <w:bCs/>
                <w:sz w:val="22"/>
                <w:szCs w:val="22"/>
              </w:rPr>
              <w:t>Number</w:t>
            </w:r>
          </w:p>
        </w:tc>
        <w:tc>
          <w:tcPr>
            <w:tcW w:w="3038" w:type="dxa"/>
            <w:shd w:val="clear" w:color="auto" w:fill="92D050"/>
          </w:tcPr>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Priority</w:t>
            </w:r>
          </w:p>
        </w:tc>
        <w:tc>
          <w:tcPr>
            <w:tcW w:w="6743" w:type="dxa"/>
            <w:shd w:val="clear" w:color="auto" w:fill="92D050"/>
          </w:tcPr>
          <w:p w:rsidR="00001BC1" w:rsidRDefault="00001BC1" w:rsidP="00AC6C01">
            <w:pPr>
              <w:pStyle w:val="Header"/>
              <w:tabs>
                <w:tab w:val="clear" w:pos="4153"/>
                <w:tab w:val="clear" w:pos="8306"/>
              </w:tabs>
              <w:jc w:val="center"/>
              <w:rPr>
                <w:rFonts w:ascii="Arial" w:hAnsi="Arial" w:cs="Arial"/>
                <w:b/>
                <w:bCs/>
              </w:rPr>
            </w:pPr>
            <w:r>
              <w:rPr>
                <w:rFonts w:ascii="Arial" w:eastAsia="Arial Unicode MS" w:hAnsi="Arial" w:cs="Arial"/>
                <w:b/>
                <w:bCs/>
                <w:sz w:val="22"/>
                <w:szCs w:val="22"/>
              </w:rPr>
              <w:t>Expected outcomes for learners which are measurable or observable</w:t>
            </w:r>
          </w:p>
        </w:tc>
        <w:tc>
          <w:tcPr>
            <w:tcW w:w="1985" w:type="dxa"/>
            <w:shd w:val="clear" w:color="auto" w:fill="92D050"/>
          </w:tcPr>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Lead  responsibility</w:t>
            </w:r>
          </w:p>
        </w:tc>
        <w:tc>
          <w:tcPr>
            <w:tcW w:w="2409" w:type="dxa"/>
            <w:shd w:val="clear" w:color="auto" w:fill="92D050"/>
          </w:tcPr>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Timescales</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1</w:t>
            </w:r>
          </w:p>
          <w:p w:rsidR="00001BC1" w:rsidRDefault="00001BC1" w:rsidP="00AC6C01">
            <w:pPr>
              <w:pStyle w:val="Header"/>
              <w:tabs>
                <w:tab w:val="clear" w:pos="4153"/>
                <w:tab w:val="clear" w:pos="8306"/>
              </w:tabs>
              <w:jc w:val="center"/>
              <w:rPr>
                <w:rFonts w:ascii="Arial" w:hAnsi="Arial" w:cs="Arial"/>
                <w:b/>
                <w:bCs/>
              </w:rPr>
            </w:pPr>
          </w:p>
        </w:tc>
        <w:tc>
          <w:tcPr>
            <w:tcW w:w="3038" w:type="dxa"/>
          </w:tcPr>
          <w:p w:rsidR="00001BC1" w:rsidRDefault="00001BC1" w:rsidP="00AC6C01">
            <w:pPr>
              <w:rPr>
                <w:rFonts w:ascii="Arial" w:hAnsi="Arial" w:cs="Arial"/>
                <w:b/>
                <w:bCs/>
              </w:rPr>
            </w:pPr>
            <w:r>
              <w:rPr>
                <w:rFonts w:ascii="Arial" w:hAnsi="Arial" w:cs="Arial"/>
                <w:b/>
                <w:bCs/>
                <w:sz w:val="22"/>
                <w:szCs w:val="22"/>
              </w:rPr>
              <w:t>To raise attainment in numeracy.</w:t>
            </w:r>
          </w:p>
          <w:p w:rsidR="00001BC1" w:rsidRDefault="00001BC1" w:rsidP="00AC6C01">
            <w:pPr>
              <w:pStyle w:val="Header"/>
              <w:tabs>
                <w:tab w:val="clear" w:pos="4153"/>
                <w:tab w:val="clear" w:pos="8306"/>
              </w:tabs>
              <w:rPr>
                <w:rFonts w:ascii="Arial" w:hAnsi="Arial" w:cs="Arial"/>
                <w:b/>
                <w:bCs/>
              </w:rPr>
            </w:pPr>
          </w:p>
          <w:p w:rsidR="00001BC1" w:rsidRDefault="00001BC1" w:rsidP="00AC6C01">
            <w:pPr>
              <w:pStyle w:val="Header"/>
              <w:tabs>
                <w:tab w:val="clear" w:pos="4153"/>
                <w:tab w:val="clear" w:pos="8306"/>
              </w:tabs>
              <w:rPr>
                <w:rFonts w:ascii="Arial" w:hAnsi="Arial" w:cs="Arial"/>
                <w:b/>
                <w:bCs/>
              </w:rPr>
            </w:pPr>
          </w:p>
        </w:tc>
        <w:tc>
          <w:tcPr>
            <w:tcW w:w="6743" w:type="dxa"/>
          </w:tcPr>
          <w:p w:rsidR="00001BC1" w:rsidRDefault="00001BC1" w:rsidP="00AC6C01">
            <w:pPr>
              <w:rPr>
                <w:rFonts w:ascii="Arial" w:hAnsi="Arial" w:cs="Arial"/>
                <w:b/>
                <w:bCs/>
              </w:rPr>
            </w:pPr>
            <w:r>
              <w:rPr>
                <w:rFonts w:ascii="Arial" w:hAnsi="Arial" w:cs="Arial"/>
                <w:b/>
                <w:bCs/>
                <w:sz w:val="22"/>
                <w:szCs w:val="22"/>
              </w:rPr>
              <w:t>70% of FME pupils to gain a SS of 100 or above.</w:t>
            </w:r>
          </w:p>
          <w:p w:rsidR="00001BC1" w:rsidRDefault="00001BC1" w:rsidP="00AC6C01">
            <w:pPr>
              <w:rPr>
                <w:rFonts w:ascii="Arial" w:hAnsi="Arial" w:cs="Arial"/>
                <w:b/>
                <w:bCs/>
              </w:rPr>
            </w:pPr>
            <w:r>
              <w:rPr>
                <w:rFonts w:ascii="Arial" w:hAnsi="Arial" w:cs="Arial"/>
                <w:b/>
                <w:bCs/>
                <w:sz w:val="22"/>
                <w:szCs w:val="22"/>
              </w:rPr>
              <w:t>Tracking in numeracy throughout school will show an increase of 5% in each class in standardised scores that are currently under 100</w:t>
            </w:r>
          </w:p>
          <w:p w:rsidR="00001BC1" w:rsidRDefault="00001BC1" w:rsidP="00AC6C01">
            <w:pPr>
              <w:pStyle w:val="Header"/>
              <w:tabs>
                <w:tab w:val="clear" w:pos="4153"/>
                <w:tab w:val="clear" w:pos="8306"/>
              </w:tabs>
              <w:rPr>
                <w:rFonts w:ascii="Arial" w:hAnsi="Arial" w:cs="Arial"/>
                <w:b/>
                <w:bCs/>
              </w:rPr>
            </w:pPr>
          </w:p>
        </w:tc>
        <w:tc>
          <w:tcPr>
            <w:tcW w:w="1985" w:type="dxa"/>
          </w:tcPr>
          <w:p w:rsidR="00001BC1" w:rsidRPr="00B17FFB" w:rsidRDefault="00001BC1" w:rsidP="00AC6C01">
            <w:pPr>
              <w:pStyle w:val="Header"/>
              <w:tabs>
                <w:tab w:val="clear" w:pos="4153"/>
                <w:tab w:val="clear" w:pos="8306"/>
              </w:tabs>
              <w:rPr>
                <w:rFonts w:ascii="Arial" w:hAnsi="Arial" w:cs="Arial"/>
                <w:bCs/>
                <w:sz w:val="20"/>
              </w:rPr>
            </w:pPr>
            <w:r>
              <w:rPr>
                <w:rFonts w:ascii="Arial" w:hAnsi="Arial" w:cs="Arial"/>
                <w:bCs/>
                <w:sz w:val="20"/>
                <w:szCs w:val="22"/>
              </w:rPr>
              <w:t>SfL and HT</w:t>
            </w:r>
          </w:p>
        </w:tc>
        <w:tc>
          <w:tcPr>
            <w:tcW w:w="2409" w:type="dxa"/>
          </w:tcPr>
          <w:p w:rsidR="00001BC1" w:rsidRPr="00B17FFB" w:rsidRDefault="00001BC1" w:rsidP="00AC6C01">
            <w:pPr>
              <w:pStyle w:val="Header"/>
              <w:tabs>
                <w:tab w:val="clear" w:pos="4153"/>
                <w:tab w:val="clear" w:pos="8306"/>
              </w:tabs>
              <w:rPr>
                <w:rFonts w:ascii="Arial" w:hAnsi="Arial" w:cs="Arial"/>
                <w:bCs/>
                <w:sz w:val="20"/>
              </w:rPr>
            </w:pPr>
            <w:r>
              <w:rPr>
                <w:rFonts w:ascii="Arial" w:hAnsi="Arial" w:cs="Arial"/>
                <w:bCs/>
                <w:sz w:val="20"/>
                <w:szCs w:val="22"/>
              </w:rPr>
              <w:t>August 2017 – March 2018</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2</w:t>
            </w:r>
          </w:p>
          <w:p w:rsidR="00001BC1" w:rsidRDefault="00001BC1" w:rsidP="00AC6C01">
            <w:pPr>
              <w:pStyle w:val="Header"/>
              <w:tabs>
                <w:tab w:val="clear" w:pos="4153"/>
                <w:tab w:val="clear" w:pos="8306"/>
              </w:tabs>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tc>
        <w:tc>
          <w:tcPr>
            <w:tcW w:w="3038" w:type="dxa"/>
          </w:tcPr>
          <w:p w:rsidR="00001BC1" w:rsidRPr="000B60A9" w:rsidRDefault="00001BC1" w:rsidP="00AC6C01">
            <w:pPr>
              <w:rPr>
                <w:rFonts w:ascii="Arial" w:hAnsi="Arial" w:cs="Arial"/>
                <w:b/>
                <w:bCs/>
              </w:rPr>
            </w:pPr>
            <w:r>
              <w:rPr>
                <w:rFonts w:ascii="Arial" w:hAnsi="Arial" w:cs="Arial"/>
                <w:b/>
                <w:sz w:val="22"/>
                <w:szCs w:val="22"/>
              </w:rPr>
              <w:t>I</w:t>
            </w:r>
            <w:r w:rsidRPr="000B60A9">
              <w:rPr>
                <w:rFonts w:ascii="Arial" w:hAnsi="Arial" w:cs="Arial"/>
                <w:b/>
                <w:sz w:val="22"/>
                <w:szCs w:val="22"/>
              </w:rPr>
              <w:t xml:space="preserve">ncreasing </w:t>
            </w:r>
            <w:r>
              <w:rPr>
                <w:rFonts w:ascii="Arial" w:hAnsi="Arial" w:cs="Arial"/>
                <w:b/>
                <w:sz w:val="22"/>
                <w:szCs w:val="22"/>
              </w:rPr>
              <w:t xml:space="preserve">teacher </w:t>
            </w:r>
            <w:r w:rsidRPr="000B60A9">
              <w:rPr>
                <w:rFonts w:ascii="Arial" w:hAnsi="Arial" w:cs="Arial"/>
                <w:b/>
                <w:sz w:val="22"/>
                <w:szCs w:val="22"/>
              </w:rPr>
              <w:t>confidence of assessing levels</w:t>
            </w:r>
          </w:p>
          <w:p w:rsidR="00001BC1" w:rsidRDefault="00001BC1" w:rsidP="00AC6C01">
            <w:pPr>
              <w:rPr>
                <w:rFonts w:ascii="Arial" w:hAnsi="Arial" w:cs="Arial"/>
                <w:b/>
                <w:bCs/>
              </w:rPr>
            </w:pPr>
          </w:p>
          <w:p w:rsidR="00001BC1" w:rsidRDefault="00001BC1" w:rsidP="00AC6C01">
            <w:pPr>
              <w:pStyle w:val="Header"/>
              <w:tabs>
                <w:tab w:val="clear" w:pos="4153"/>
                <w:tab w:val="clear" w:pos="8306"/>
              </w:tabs>
              <w:rPr>
                <w:rFonts w:ascii="Arial" w:hAnsi="Arial" w:cs="Arial"/>
                <w:b/>
                <w:bCs/>
              </w:rPr>
            </w:pPr>
          </w:p>
        </w:tc>
        <w:tc>
          <w:tcPr>
            <w:tcW w:w="6743" w:type="dxa"/>
          </w:tcPr>
          <w:p w:rsidR="00001BC1" w:rsidRDefault="00001BC1" w:rsidP="00AC6C01">
            <w:pPr>
              <w:rPr>
                <w:rFonts w:ascii="Arial" w:hAnsi="Arial" w:cs="Arial"/>
                <w:b/>
                <w:bCs/>
              </w:rPr>
            </w:pPr>
            <w:r>
              <w:rPr>
                <w:rFonts w:ascii="Arial" w:hAnsi="Arial" w:cs="Arial"/>
                <w:b/>
                <w:bCs/>
                <w:sz w:val="22"/>
                <w:szCs w:val="22"/>
              </w:rPr>
              <w:t>Teachers will have ‘benchmark ‘ pupils for comparison within class when stating levels achieved or predicting future levels.</w:t>
            </w:r>
          </w:p>
          <w:p w:rsidR="00001BC1" w:rsidRDefault="00001BC1" w:rsidP="00AC6C01">
            <w:pPr>
              <w:rPr>
                <w:rFonts w:ascii="Arial" w:hAnsi="Arial" w:cs="Arial"/>
                <w:b/>
                <w:bCs/>
              </w:rPr>
            </w:pPr>
            <w:r>
              <w:rPr>
                <w:rFonts w:ascii="Arial" w:hAnsi="Arial" w:cs="Arial"/>
                <w:b/>
                <w:bCs/>
                <w:sz w:val="22"/>
                <w:szCs w:val="22"/>
              </w:rPr>
              <w:t>Teachers will be more confident at assessing levels achieved in pupils.</w:t>
            </w:r>
          </w:p>
          <w:p w:rsidR="00001BC1" w:rsidRDefault="00001BC1" w:rsidP="00AC6C01">
            <w:pPr>
              <w:rPr>
                <w:rFonts w:ascii="Arial" w:hAnsi="Arial" w:cs="Arial"/>
                <w:b/>
                <w:bCs/>
              </w:rPr>
            </w:pPr>
            <w:r>
              <w:rPr>
                <w:rFonts w:ascii="Arial" w:hAnsi="Arial" w:cs="Arial"/>
                <w:b/>
                <w:bCs/>
                <w:sz w:val="22"/>
                <w:szCs w:val="22"/>
              </w:rPr>
              <w:t>Teachers will e able to confidently predict levels during professional dialogue with Senior Leadership Team</w:t>
            </w:r>
          </w:p>
          <w:p w:rsidR="00001BC1" w:rsidRPr="00B17FFB" w:rsidRDefault="00001BC1" w:rsidP="00AC6C01">
            <w:pPr>
              <w:pStyle w:val="Header"/>
              <w:tabs>
                <w:tab w:val="clear" w:pos="4153"/>
                <w:tab w:val="clear" w:pos="8306"/>
              </w:tabs>
              <w:rPr>
                <w:rFonts w:ascii="Arial" w:hAnsi="Arial" w:cs="Arial"/>
                <w:b/>
                <w:bCs/>
                <w:i/>
              </w:rPr>
            </w:pPr>
          </w:p>
        </w:tc>
        <w:tc>
          <w:tcPr>
            <w:tcW w:w="1985" w:type="dxa"/>
          </w:tcPr>
          <w:p w:rsidR="00001BC1" w:rsidRPr="00BE63A1" w:rsidRDefault="00001BC1" w:rsidP="00AC6C01">
            <w:pPr>
              <w:pStyle w:val="Header"/>
              <w:tabs>
                <w:tab w:val="clear" w:pos="4153"/>
                <w:tab w:val="clear" w:pos="8306"/>
              </w:tabs>
              <w:rPr>
                <w:rFonts w:ascii="Arial" w:hAnsi="Arial" w:cs="Arial"/>
                <w:bCs/>
                <w:sz w:val="20"/>
              </w:rPr>
            </w:pPr>
            <w:r>
              <w:rPr>
                <w:rFonts w:ascii="Arial" w:hAnsi="Arial" w:cs="Arial"/>
                <w:bCs/>
                <w:sz w:val="20"/>
                <w:szCs w:val="22"/>
              </w:rPr>
              <w:t>HT</w:t>
            </w:r>
          </w:p>
        </w:tc>
        <w:tc>
          <w:tcPr>
            <w:tcW w:w="2409" w:type="dxa"/>
          </w:tcPr>
          <w:p w:rsidR="00001BC1" w:rsidRPr="00BE63A1" w:rsidRDefault="00001BC1" w:rsidP="00AC6C01">
            <w:pPr>
              <w:pStyle w:val="Header"/>
              <w:tabs>
                <w:tab w:val="clear" w:pos="4153"/>
                <w:tab w:val="clear" w:pos="8306"/>
              </w:tabs>
              <w:rPr>
                <w:rFonts w:ascii="Arial" w:hAnsi="Arial" w:cs="Arial"/>
                <w:bCs/>
                <w:sz w:val="20"/>
              </w:rPr>
            </w:pPr>
            <w:r>
              <w:rPr>
                <w:rFonts w:ascii="Arial" w:hAnsi="Arial" w:cs="Arial"/>
                <w:bCs/>
                <w:sz w:val="20"/>
                <w:szCs w:val="22"/>
              </w:rPr>
              <w:t>May 2018</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3</w:t>
            </w: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tc>
        <w:tc>
          <w:tcPr>
            <w:tcW w:w="3038" w:type="dxa"/>
          </w:tcPr>
          <w:p w:rsidR="00001BC1" w:rsidRDefault="00001BC1" w:rsidP="00AC6C01">
            <w:pPr>
              <w:rPr>
                <w:rFonts w:ascii="Arial" w:hAnsi="Arial" w:cs="Arial"/>
                <w:b/>
                <w:bCs/>
              </w:rPr>
            </w:pPr>
            <w:r>
              <w:rPr>
                <w:rFonts w:ascii="Arial" w:hAnsi="Arial" w:cs="Arial"/>
                <w:b/>
                <w:bCs/>
                <w:sz w:val="22"/>
                <w:szCs w:val="22"/>
              </w:rPr>
              <w:t>To more effectively self evaluate using data and evidence.</w:t>
            </w:r>
          </w:p>
          <w:p w:rsidR="00001BC1" w:rsidRDefault="00001BC1" w:rsidP="00AC6C01">
            <w:pPr>
              <w:rPr>
                <w:rFonts w:ascii="Arial" w:hAnsi="Arial" w:cs="Arial"/>
                <w:b/>
                <w:bCs/>
              </w:rPr>
            </w:pPr>
          </w:p>
          <w:p w:rsidR="00001BC1" w:rsidRDefault="00001BC1" w:rsidP="00AC6C01">
            <w:pPr>
              <w:pStyle w:val="Header"/>
              <w:tabs>
                <w:tab w:val="clear" w:pos="4153"/>
                <w:tab w:val="clear" w:pos="8306"/>
              </w:tabs>
              <w:rPr>
                <w:rFonts w:ascii="Arial" w:hAnsi="Arial" w:cs="Arial"/>
                <w:b/>
                <w:bCs/>
              </w:rPr>
            </w:pPr>
          </w:p>
        </w:tc>
        <w:tc>
          <w:tcPr>
            <w:tcW w:w="6743" w:type="dxa"/>
          </w:tcPr>
          <w:p w:rsidR="00001BC1" w:rsidRDefault="00001BC1" w:rsidP="00AC6C01">
            <w:pPr>
              <w:rPr>
                <w:rFonts w:ascii="Arial" w:hAnsi="Arial" w:cs="Arial"/>
                <w:b/>
                <w:bCs/>
              </w:rPr>
            </w:pPr>
            <w:r>
              <w:rPr>
                <w:rFonts w:ascii="Arial" w:hAnsi="Arial" w:cs="Arial"/>
                <w:b/>
                <w:bCs/>
                <w:sz w:val="22"/>
                <w:szCs w:val="22"/>
              </w:rPr>
              <w:t>Teachers will be able to provide evidence of pupil learning.</w:t>
            </w:r>
          </w:p>
          <w:p w:rsidR="00001BC1" w:rsidRDefault="00001BC1" w:rsidP="00AC6C01">
            <w:pPr>
              <w:rPr>
                <w:rFonts w:ascii="Arial" w:hAnsi="Arial" w:cs="Arial"/>
                <w:b/>
                <w:bCs/>
              </w:rPr>
            </w:pPr>
            <w:r>
              <w:rPr>
                <w:rFonts w:ascii="Arial" w:hAnsi="Arial" w:cs="Arial"/>
                <w:b/>
                <w:bCs/>
                <w:sz w:val="22"/>
                <w:szCs w:val="22"/>
              </w:rPr>
              <w:t>Teachers will be able to provide evidence on the effectiveness of any new developments – for example uninterrupted numeracy time should show increased achievements in teacher produced assessments and standardised tests.</w:t>
            </w:r>
          </w:p>
          <w:p w:rsidR="00001BC1" w:rsidRDefault="00001BC1" w:rsidP="00AC6C01">
            <w:pPr>
              <w:rPr>
                <w:rFonts w:ascii="Arial" w:hAnsi="Arial" w:cs="Arial"/>
                <w:b/>
                <w:bCs/>
              </w:rPr>
            </w:pPr>
          </w:p>
          <w:p w:rsidR="00001BC1" w:rsidRDefault="00001BC1" w:rsidP="00AC6C01">
            <w:pPr>
              <w:pStyle w:val="Header"/>
              <w:tabs>
                <w:tab w:val="clear" w:pos="4153"/>
                <w:tab w:val="clear" w:pos="8306"/>
              </w:tabs>
              <w:rPr>
                <w:rFonts w:ascii="Arial" w:hAnsi="Arial" w:cs="Arial"/>
                <w:b/>
                <w:bCs/>
              </w:rPr>
            </w:pPr>
          </w:p>
        </w:tc>
        <w:tc>
          <w:tcPr>
            <w:tcW w:w="1985" w:type="dxa"/>
          </w:tcPr>
          <w:p w:rsidR="00001BC1" w:rsidRPr="004A4207" w:rsidRDefault="00001BC1" w:rsidP="00AC6C01">
            <w:pPr>
              <w:pStyle w:val="Header"/>
              <w:tabs>
                <w:tab w:val="clear" w:pos="4153"/>
                <w:tab w:val="clear" w:pos="8306"/>
              </w:tabs>
              <w:rPr>
                <w:rFonts w:ascii="Arial" w:hAnsi="Arial" w:cs="Arial"/>
                <w:bCs/>
              </w:rPr>
            </w:pPr>
            <w:r>
              <w:rPr>
                <w:rFonts w:ascii="Arial" w:hAnsi="Arial" w:cs="Arial"/>
                <w:bCs/>
                <w:sz w:val="22"/>
                <w:szCs w:val="22"/>
              </w:rPr>
              <w:t>All Staff</w:t>
            </w:r>
          </w:p>
        </w:tc>
        <w:tc>
          <w:tcPr>
            <w:tcW w:w="2409" w:type="dxa"/>
          </w:tcPr>
          <w:p w:rsidR="00001BC1" w:rsidRPr="000A5418" w:rsidRDefault="00001BC1" w:rsidP="00AC6C01">
            <w:pPr>
              <w:pStyle w:val="Header"/>
              <w:tabs>
                <w:tab w:val="clear" w:pos="4153"/>
                <w:tab w:val="clear" w:pos="8306"/>
              </w:tabs>
              <w:rPr>
                <w:rFonts w:ascii="Arial" w:hAnsi="Arial" w:cs="Arial"/>
                <w:bCs/>
              </w:rPr>
            </w:pPr>
            <w:r w:rsidRPr="000A5418">
              <w:rPr>
                <w:rFonts w:ascii="Arial" w:hAnsi="Arial" w:cs="Arial"/>
                <w:bCs/>
                <w:sz w:val="22"/>
                <w:szCs w:val="22"/>
              </w:rPr>
              <w:t>August 2017 – June 2018</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4</w:t>
            </w: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tc>
        <w:tc>
          <w:tcPr>
            <w:tcW w:w="3038"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Tracking of learning within the nursery</w:t>
            </w:r>
          </w:p>
        </w:tc>
        <w:tc>
          <w:tcPr>
            <w:tcW w:w="6743"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Nursery staff will be able to provide evidence of pupil learning for parents and transitions. These will detail individual experiences and outcomes that children have covered and will also include examples of learning across the curriculum. Throughout the year random profiles will be spot checked to ensure the above criteria are being applied.</w:t>
            </w:r>
          </w:p>
        </w:tc>
        <w:tc>
          <w:tcPr>
            <w:tcW w:w="1985" w:type="dxa"/>
          </w:tcPr>
          <w:p w:rsidR="00001BC1" w:rsidRPr="004A4207" w:rsidRDefault="00001BC1" w:rsidP="00AC6C01">
            <w:pPr>
              <w:pStyle w:val="Header"/>
              <w:tabs>
                <w:tab w:val="clear" w:pos="4153"/>
                <w:tab w:val="clear" w:pos="8306"/>
              </w:tabs>
              <w:rPr>
                <w:rFonts w:ascii="Arial" w:hAnsi="Arial" w:cs="Arial"/>
                <w:bCs/>
              </w:rPr>
            </w:pPr>
            <w:r>
              <w:rPr>
                <w:rFonts w:ascii="Arial" w:hAnsi="Arial" w:cs="Arial"/>
                <w:bCs/>
                <w:sz w:val="22"/>
                <w:szCs w:val="22"/>
              </w:rPr>
              <w:t>All nursery staff</w:t>
            </w:r>
          </w:p>
        </w:tc>
        <w:tc>
          <w:tcPr>
            <w:tcW w:w="2409" w:type="dxa"/>
          </w:tcPr>
          <w:p w:rsidR="00001BC1" w:rsidRPr="004A4207" w:rsidRDefault="00001BC1" w:rsidP="00AC6C01">
            <w:pPr>
              <w:pStyle w:val="Header"/>
              <w:tabs>
                <w:tab w:val="clear" w:pos="4153"/>
                <w:tab w:val="clear" w:pos="8306"/>
              </w:tabs>
              <w:rPr>
                <w:rFonts w:ascii="Arial" w:hAnsi="Arial" w:cs="Arial"/>
                <w:bCs/>
              </w:rPr>
            </w:pPr>
            <w:r w:rsidRPr="000A5418">
              <w:rPr>
                <w:rFonts w:ascii="Arial" w:hAnsi="Arial" w:cs="Arial"/>
                <w:bCs/>
                <w:sz w:val="22"/>
                <w:szCs w:val="22"/>
              </w:rPr>
              <w:t>August 2017 – June 2018</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5</w:t>
            </w: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tc>
        <w:tc>
          <w:tcPr>
            <w:tcW w:w="3038"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Engaging families in learning – development of PEEPS groups in nursery</w:t>
            </w:r>
          </w:p>
        </w:tc>
        <w:tc>
          <w:tcPr>
            <w:tcW w:w="6743"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All courses fully attended and certificates issued to all participating parents and children. We would like to have at least one third of our nursery pupils (20 children) and their parents complete a PEEPS course by June 2017.</w:t>
            </w:r>
          </w:p>
        </w:tc>
        <w:tc>
          <w:tcPr>
            <w:tcW w:w="1985" w:type="dxa"/>
          </w:tcPr>
          <w:p w:rsidR="00001BC1" w:rsidRPr="004A4207" w:rsidRDefault="00001BC1" w:rsidP="00AC6C01">
            <w:pPr>
              <w:pStyle w:val="Header"/>
              <w:tabs>
                <w:tab w:val="clear" w:pos="4153"/>
                <w:tab w:val="clear" w:pos="8306"/>
              </w:tabs>
              <w:rPr>
                <w:rFonts w:ascii="Arial" w:hAnsi="Arial" w:cs="Arial"/>
                <w:bCs/>
              </w:rPr>
            </w:pPr>
            <w:r>
              <w:rPr>
                <w:rFonts w:ascii="Arial" w:hAnsi="Arial" w:cs="Arial"/>
                <w:bCs/>
                <w:sz w:val="22"/>
                <w:szCs w:val="22"/>
              </w:rPr>
              <w:t>All trained nursery staff</w:t>
            </w:r>
          </w:p>
        </w:tc>
        <w:tc>
          <w:tcPr>
            <w:tcW w:w="2409" w:type="dxa"/>
          </w:tcPr>
          <w:p w:rsidR="00001BC1" w:rsidRPr="00E65D1D" w:rsidRDefault="00001BC1" w:rsidP="00AC6C01">
            <w:pPr>
              <w:pStyle w:val="Header"/>
              <w:tabs>
                <w:tab w:val="clear" w:pos="4153"/>
                <w:tab w:val="clear" w:pos="8306"/>
              </w:tabs>
              <w:rPr>
                <w:rFonts w:ascii="Arial" w:hAnsi="Arial" w:cs="Arial"/>
                <w:bCs/>
              </w:rPr>
            </w:pPr>
            <w:r w:rsidRPr="000A5418">
              <w:rPr>
                <w:rFonts w:ascii="Arial" w:hAnsi="Arial" w:cs="Arial"/>
                <w:bCs/>
                <w:sz w:val="22"/>
                <w:szCs w:val="22"/>
              </w:rPr>
              <w:t>August 2017 – June 2018</w:t>
            </w:r>
          </w:p>
        </w:tc>
      </w:tr>
      <w:tr w:rsidR="00001BC1" w:rsidTr="00AC6C01">
        <w:tc>
          <w:tcPr>
            <w:tcW w:w="1242" w:type="dxa"/>
          </w:tcPr>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p>
          <w:p w:rsidR="00001BC1" w:rsidRDefault="00001BC1" w:rsidP="00AC6C01">
            <w:pPr>
              <w:pStyle w:val="Header"/>
              <w:tabs>
                <w:tab w:val="clear" w:pos="4153"/>
                <w:tab w:val="clear" w:pos="8306"/>
              </w:tabs>
              <w:jc w:val="center"/>
              <w:rPr>
                <w:rFonts w:ascii="Arial" w:hAnsi="Arial" w:cs="Arial"/>
                <w:b/>
                <w:bCs/>
              </w:rPr>
            </w:pPr>
            <w:r>
              <w:rPr>
                <w:rFonts w:ascii="Arial" w:hAnsi="Arial" w:cs="Arial"/>
                <w:b/>
                <w:bCs/>
                <w:sz w:val="22"/>
                <w:szCs w:val="22"/>
              </w:rPr>
              <w:t>6</w:t>
            </w:r>
          </w:p>
        </w:tc>
        <w:tc>
          <w:tcPr>
            <w:tcW w:w="3038"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To develop a strategic curriculum overview which will ensure a shared understanding of the purpose and design of the curriculum.</w:t>
            </w:r>
          </w:p>
        </w:tc>
        <w:tc>
          <w:tcPr>
            <w:tcW w:w="6743" w:type="dxa"/>
          </w:tcPr>
          <w:p w:rsidR="00001BC1" w:rsidRDefault="00001BC1" w:rsidP="00AC6C01">
            <w:pPr>
              <w:pStyle w:val="Header"/>
              <w:tabs>
                <w:tab w:val="clear" w:pos="4153"/>
                <w:tab w:val="clear" w:pos="8306"/>
              </w:tabs>
              <w:rPr>
                <w:rFonts w:ascii="Arial" w:hAnsi="Arial" w:cs="Arial"/>
                <w:b/>
                <w:bCs/>
              </w:rPr>
            </w:pPr>
            <w:r>
              <w:rPr>
                <w:rFonts w:ascii="Arial" w:hAnsi="Arial" w:cs="Arial"/>
                <w:b/>
                <w:bCs/>
                <w:sz w:val="22"/>
                <w:szCs w:val="22"/>
              </w:rPr>
              <w:t>Staff will have a clearer picture of the totality of the curriculum and be able to see links across learning more clearly. Clear progressions of knowledge and skills will be evident. This will be assessed through professional dialogue in groups and one to one during planning discussions.</w:t>
            </w:r>
          </w:p>
        </w:tc>
        <w:tc>
          <w:tcPr>
            <w:tcW w:w="1985" w:type="dxa"/>
          </w:tcPr>
          <w:p w:rsidR="00001BC1" w:rsidRPr="004A4207" w:rsidRDefault="00001BC1" w:rsidP="00AC6C01">
            <w:pPr>
              <w:pStyle w:val="Header"/>
              <w:tabs>
                <w:tab w:val="clear" w:pos="4153"/>
                <w:tab w:val="clear" w:pos="8306"/>
              </w:tabs>
              <w:rPr>
                <w:rFonts w:ascii="Arial" w:hAnsi="Arial" w:cs="Arial"/>
                <w:bCs/>
              </w:rPr>
            </w:pPr>
            <w:r>
              <w:rPr>
                <w:rFonts w:ascii="Arial" w:hAnsi="Arial" w:cs="Arial"/>
                <w:bCs/>
                <w:sz w:val="22"/>
                <w:szCs w:val="22"/>
              </w:rPr>
              <w:t>Senior Management Team</w:t>
            </w:r>
          </w:p>
        </w:tc>
        <w:tc>
          <w:tcPr>
            <w:tcW w:w="2409" w:type="dxa"/>
          </w:tcPr>
          <w:p w:rsidR="00001BC1" w:rsidRPr="00AE493D" w:rsidRDefault="00001BC1" w:rsidP="00AC6C01">
            <w:pPr>
              <w:pStyle w:val="Header"/>
              <w:tabs>
                <w:tab w:val="clear" w:pos="4153"/>
                <w:tab w:val="clear" w:pos="8306"/>
              </w:tabs>
              <w:rPr>
                <w:rFonts w:ascii="Arial" w:hAnsi="Arial" w:cs="Arial"/>
                <w:bCs/>
              </w:rPr>
            </w:pPr>
            <w:r>
              <w:rPr>
                <w:rFonts w:ascii="Arial" w:hAnsi="Arial" w:cs="Arial"/>
                <w:bCs/>
                <w:sz w:val="22"/>
                <w:szCs w:val="22"/>
              </w:rPr>
              <w:t>In</w:t>
            </w:r>
            <w:r w:rsidRPr="00AE493D">
              <w:rPr>
                <w:rFonts w:ascii="Arial" w:hAnsi="Arial" w:cs="Arial"/>
                <w:bCs/>
                <w:sz w:val="22"/>
                <w:szCs w:val="22"/>
              </w:rPr>
              <w:t xml:space="preserve"> </w:t>
            </w:r>
            <w:r>
              <w:rPr>
                <w:rFonts w:ascii="Arial" w:hAnsi="Arial" w:cs="Arial"/>
                <w:bCs/>
                <w:sz w:val="22"/>
                <w:szCs w:val="22"/>
              </w:rPr>
              <w:t xml:space="preserve">place by February </w:t>
            </w:r>
            <w:r w:rsidRPr="00AE493D">
              <w:rPr>
                <w:rFonts w:ascii="Arial" w:hAnsi="Arial" w:cs="Arial"/>
                <w:bCs/>
                <w:sz w:val="22"/>
                <w:szCs w:val="22"/>
              </w:rPr>
              <w:t>2018</w:t>
            </w:r>
          </w:p>
        </w:tc>
      </w:tr>
    </w:tbl>
    <w:p w:rsidR="00001BC1" w:rsidRDefault="00001BC1"/>
    <w:sectPr w:rsidR="00001BC1" w:rsidSect="00001BC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001BC1"/>
    <w:rsid w:val="00001BC1"/>
    <w:rsid w:val="00A61309"/>
    <w:rsid w:val="00BF5CE0"/>
    <w:rsid w:val="00DE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1BC1"/>
    <w:pPr>
      <w:tabs>
        <w:tab w:val="center" w:pos="4153"/>
        <w:tab w:val="right" w:pos="8306"/>
      </w:tabs>
    </w:pPr>
  </w:style>
  <w:style w:type="character" w:customStyle="1" w:styleId="HeaderChar">
    <w:name w:val="Header Char"/>
    <w:basedOn w:val="DefaultParagraphFont"/>
    <w:link w:val="Header"/>
    <w:rsid w:val="00001B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Company>Midlothian Council - Education</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Simon</cp:lastModifiedBy>
  <cp:revision>2</cp:revision>
  <cp:lastPrinted>2017-09-04T16:03:00Z</cp:lastPrinted>
  <dcterms:created xsi:type="dcterms:W3CDTF">2017-09-28T19:07:00Z</dcterms:created>
  <dcterms:modified xsi:type="dcterms:W3CDTF">2017-09-28T19:07:00Z</dcterms:modified>
</cp:coreProperties>
</file>